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C64" w:rsidRDefault="00025C64" w:rsidP="00025C64">
      <w:pPr>
        <w:pStyle w:val="paragraph"/>
        <w:spacing w:before="0" w:beforeAutospacing="0" w:after="0" w:afterAutospacing="0"/>
        <w:ind w:left="705"/>
        <w:jc w:val="center"/>
        <w:textAlignment w:val="baseline"/>
        <w:rPr>
          <w:rStyle w:val="normaltextrun"/>
          <w:rFonts w:eastAsiaTheme="majorEastAsia"/>
          <w:b/>
          <w:bCs/>
          <w:sz w:val="28"/>
          <w:szCs w:val="28"/>
          <w:lang w:val="ro-RO"/>
        </w:rPr>
      </w:pPr>
      <w:r>
        <w:rPr>
          <w:rStyle w:val="normaltextrun"/>
          <w:rFonts w:eastAsiaTheme="majorEastAsia"/>
          <w:b/>
          <w:bCs/>
          <w:sz w:val="28"/>
          <w:szCs w:val="28"/>
          <w:lang w:val="ro-RO"/>
        </w:rPr>
        <w:t>PROPUNERE DE AMALGAMARE VOLUNTARĂ</w:t>
      </w:r>
    </w:p>
    <w:p w:rsidR="00025C64" w:rsidRDefault="00025C64" w:rsidP="00025C64">
      <w:pPr>
        <w:pStyle w:val="paragraph"/>
        <w:spacing w:before="0" w:beforeAutospacing="0" w:after="0" w:afterAutospacing="0"/>
        <w:ind w:left="705"/>
        <w:jc w:val="center"/>
        <w:textAlignment w:val="baseline"/>
        <w:rPr>
          <w:rStyle w:val="normaltextrun"/>
          <w:rFonts w:eastAsiaTheme="majorEastAsia"/>
          <w:b/>
          <w:bCs/>
          <w:sz w:val="28"/>
          <w:szCs w:val="28"/>
          <w:lang w:val="ro-RO"/>
        </w:rPr>
      </w:pPr>
    </w:p>
    <w:p w:rsidR="00025C64" w:rsidRDefault="00025C64" w:rsidP="00025C64">
      <w:pPr>
        <w:pStyle w:val="paragraph"/>
        <w:spacing w:before="0" w:beforeAutospacing="0" w:after="0" w:afterAutospacing="0"/>
        <w:ind w:firstLine="567"/>
        <w:jc w:val="both"/>
        <w:textAlignment w:val="baseline"/>
      </w:pPr>
      <w:r>
        <w:rPr>
          <w:sz w:val="28"/>
          <w:szCs w:val="28"/>
          <w:lang w:val="ro-RO"/>
        </w:rPr>
        <w:t xml:space="preserve">În conformitate cu prevederile art. 8 lit. c) şi art. 9 alin. (1) lit. a) al Legii nr. 225/2023 cu privire la amalgamarea voluntară a unităților administrativ-teritoriale şi art. 14 alin. (2) lit. k¹) şi 29 alin. (1) lit. z) al Legii nr. 436/2006 cu privire la administrația publică locală, </w:t>
      </w:r>
    </w:p>
    <w:p w:rsidR="00025C64" w:rsidRDefault="00025C64" w:rsidP="00025C64">
      <w:pPr>
        <w:pStyle w:val="paragraph"/>
        <w:spacing w:before="0" w:beforeAutospacing="0" w:after="0" w:afterAutospacing="0"/>
        <w:ind w:left="360"/>
        <w:jc w:val="both"/>
        <w:textAlignment w:val="baseline"/>
        <w:rPr>
          <w:sz w:val="28"/>
          <w:szCs w:val="28"/>
          <w:lang w:val="ro-RO"/>
        </w:rPr>
      </w:pPr>
      <w:r>
        <w:rPr>
          <w:sz w:val="28"/>
          <w:szCs w:val="28"/>
          <w:lang w:val="ro-RO"/>
        </w:rPr>
        <w:t>În calitate de primar al comunei Tohatin, mun. Chișinău înaintez prezenta propunere consiliului local  de a aproba inițierea procesului de amalgamare voluntară a comunei Tohatin, mun. Chișinău cu orașul Stăuceni, mun. Chișinău.</w:t>
      </w:r>
    </w:p>
    <w:p w:rsidR="00025C64" w:rsidRDefault="00025C64" w:rsidP="00025C64">
      <w:pPr>
        <w:widowControl w:val="0"/>
        <w:ind w:firstLine="567"/>
        <w:jc w:val="both"/>
        <w:rPr>
          <w:sz w:val="28"/>
          <w:szCs w:val="28"/>
        </w:rPr>
      </w:pPr>
      <w:r>
        <w:rPr>
          <w:sz w:val="28"/>
          <w:szCs w:val="28"/>
        </w:rPr>
        <w:t xml:space="preserve">Procesul de amalgamare voluntară a localităților sus menționate corespunde criteriilor prevăzute de Legea nr. 225/2023 cu privire la amalgamarea voluntară a unităților administrativ-teritoriale şi de Metodologia de amalgamare voluntară a unităților administrativ-teritoriale, aprobată prin Hotărârea Guvernului nr. 925/2023. </w:t>
      </w:r>
    </w:p>
    <w:p w:rsidR="00025C64" w:rsidRDefault="00025C64" w:rsidP="00025C64">
      <w:pPr>
        <w:jc w:val="center"/>
        <w:rPr>
          <w:b/>
          <w:bCs/>
          <w:sz w:val="28"/>
          <w:szCs w:val="28"/>
        </w:rPr>
      </w:pPr>
      <w:r>
        <w:rPr>
          <w:b/>
          <w:bCs/>
          <w:sz w:val="28"/>
          <w:szCs w:val="28"/>
        </w:rPr>
        <w:t>Indicatori socio-economici și de capacitate administrativă a comunei Tohatin:</w:t>
      </w:r>
    </w:p>
    <w:p w:rsidR="00025C64" w:rsidRPr="00B63D43" w:rsidRDefault="00025C64" w:rsidP="00025C64">
      <w:pPr>
        <w:ind w:firstLine="709"/>
        <w:jc w:val="both"/>
        <w:rPr>
          <w:sz w:val="28"/>
          <w:szCs w:val="28"/>
          <w:lang w:val="ro-MD"/>
        </w:rPr>
      </w:pPr>
      <w:r w:rsidRPr="00B63D43">
        <w:rPr>
          <w:sz w:val="28"/>
          <w:szCs w:val="28"/>
          <w:lang w:val="ro-MD"/>
        </w:rPr>
        <w:t>1.Lungimea totală a drumurilor  -  90,1 km</w:t>
      </w:r>
    </w:p>
    <w:p w:rsidR="00025C64" w:rsidRPr="00B63D43" w:rsidRDefault="00025C64" w:rsidP="00025C64">
      <w:pPr>
        <w:ind w:firstLine="709"/>
        <w:jc w:val="both"/>
        <w:rPr>
          <w:sz w:val="28"/>
          <w:szCs w:val="28"/>
          <w:lang w:val="ro-MD"/>
        </w:rPr>
      </w:pPr>
      <w:r w:rsidRPr="00B63D43">
        <w:rPr>
          <w:sz w:val="28"/>
          <w:szCs w:val="28"/>
          <w:lang w:val="ro-MD"/>
        </w:rPr>
        <w:t>2.Numărul de copii (0-18 ani)  - 1199.</w:t>
      </w:r>
    </w:p>
    <w:p w:rsidR="00025C64" w:rsidRPr="00B63D43" w:rsidRDefault="00025C64" w:rsidP="00025C64">
      <w:pPr>
        <w:ind w:firstLine="709"/>
        <w:jc w:val="both"/>
        <w:rPr>
          <w:sz w:val="28"/>
          <w:szCs w:val="28"/>
          <w:lang w:val="ro-MD"/>
        </w:rPr>
      </w:pPr>
      <w:r w:rsidRPr="00B63D43">
        <w:rPr>
          <w:sz w:val="28"/>
          <w:szCs w:val="28"/>
          <w:lang w:val="ro-MD"/>
        </w:rPr>
        <w:t>3.Numărul persoanelor adulte(19-64 ani)  -  2406.</w:t>
      </w:r>
    </w:p>
    <w:p w:rsidR="00025C64" w:rsidRPr="00B63D43" w:rsidRDefault="00025C64" w:rsidP="00025C64">
      <w:pPr>
        <w:ind w:firstLine="709"/>
        <w:jc w:val="both"/>
        <w:rPr>
          <w:sz w:val="28"/>
          <w:szCs w:val="28"/>
          <w:lang w:val="ro-MD"/>
        </w:rPr>
      </w:pPr>
      <w:r w:rsidRPr="00B63D43">
        <w:rPr>
          <w:sz w:val="28"/>
          <w:szCs w:val="28"/>
          <w:lang w:val="ro-MD"/>
        </w:rPr>
        <w:t>4.Numărul persoanelor vîrstnice(65+ani)  -  440.</w:t>
      </w:r>
    </w:p>
    <w:p w:rsidR="00025C64" w:rsidRPr="00B63D43" w:rsidRDefault="00025C64" w:rsidP="00025C64">
      <w:pPr>
        <w:ind w:firstLine="709"/>
        <w:jc w:val="both"/>
        <w:rPr>
          <w:sz w:val="28"/>
          <w:szCs w:val="28"/>
          <w:lang w:val="ro-MD"/>
        </w:rPr>
      </w:pPr>
      <w:r w:rsidRPr="00B63D43">
        <w:rPr>
          <w:sz w:val="28"/>
          <w:szCs w:val="28"/>
          <w:lang w:val="ro-MD"/>
        </w:rPr>
        <w:t>5.Nivelul migrației  - mediu</w:t>
      </w:r>
    </w:p>
    <w:p w:rsidR="00025C64" w:rsidRPr="00B63D43" w:rsidRDefault="00025C64" w:rsidP="00025C64">
      <w:pPr>
        <w:ind w:firstLine="709"/>
        <w:jc w:val="both"/>
        <w:rPr>
          <w:sz w:val="28"/>
          <w:szCs w:val="28"/>
          <w:lang w:val="ro-MD"/>
        </w:rPr>
      </w:pPr>
      <w:r w:rsidRPr="00B63D43">
        <w:rPr>
          <w:sz w:val="28"/>
          <w:szCs w:val="28"/>
          <w:lang w:val="ro-MD"/>
        </w:rPr>
        <w:t>6.Distanța maximă între localitățile Tohatin,Cheltuitori,Buneți  -  11km.</w:t>
      </w:r>
    </w:p>
    <w:p w:rsidR="00025C64" w:rsidRPr="00B63D43" w:rsidRDefault="00025C64" w:rsidP="00025C64">
      <w:pPr>
        <w:ind w:firstLine="709"/>
        <w:jc w:val="both"/>
        <w:rPr>
          <w:sz w:val="28"/>
          <w:szCs w:val="28"/>
          <w:lang w:val="ro-MD"/>
        </w:rPr>
      </w:pPr>
      <w:r w:rsidRPr="00B63D43">
        <w:rPr>
          <w:sz w:val="28"/>
          <w:szCs w:val="28"/>
          <w:lang w:val="ro-MD"/>
        </w:rPr>
        <w:t>7.Distanța maximă pînă la CUPS  -  7,3 km.</w:t>
      </w:r>
    </w:p>
    <w:p w:rsidR="00025C64" w:rsidRPr="00B63D43" w:rsidRDefault="00025C64" w:rsidP="00025C64">
      <w:pPr>
        <w:ind w:firstLine="709"/>
        <w:jc w:val="both"/>
        <w:rPr>
          <w:sz w:val="28"/>
          <w:szCs w:val="28"/>
          <w:lang w:val="ro-MD"/>
        </w:rPr>
      </w:pPr>
      <w:r w:rsidRPr="00B63D43">
        <w:rPr>
          <w:sz w:val="28"/>
          <w:szCs w:val="28"/>
          <w:lang w:val="ro-MD"/>
        </w:rPr>
        <w:t>8.Distanța pînă la municipiul Chișinău  -  8 km.</w:t>
      </w:r>
    </w:p>
    <w:p w:rsidR="00025C64" w:rsidRPr="00B63D43" w:rsidRDefault="00025C64" w:rsidP="00025C64">
      <w:pPr>
        <w:ind w:firstLine="709"/>
        <w:jc w:val="both"/>
        <w:rPr>
          <w:sz w:val="28"/>
          <w:szCs w:val="28"/>
          <w:lang w:val="ro-MD"/>
        </w:rPr>
      </w:pPr>
      <w:r w:rsidRPr="00B63D43">
        <w:rPr>
          <w:sz w:val="28"/>
          <w:szCs w:val="28"/>
          <w:lang w:val="ro-MD"/>
        </w:rPr>
        <w:t>9.Numărul gospodăriilor conectate la apă potabilă  -  2000.</w:t>
      </w:r>
    </w:p>
    <w:p w:rsidR="00025C64" w:rsidRPr="00B63D43" w:rsidRDefault="00025C64" w:rsidP="00025C64">
      <w:pPr>
        <w:ind w:firstLine="709"/>
        <w:jc w:val="both"/>
        <w:rPr>
          <w:sz w:val="28"/>
          <w:szCs w:val="28"/>
          <w:lang w:val="ro-MD"/>
        </w:rPr>
      </w:pPr>
      <w:r w:rsidRPr="00B63D43">
        <w:rPr>
          <w:sz w:val="28"/>
          <w:szCs w:val="28"/>
          <w:lang w:val="ro-MD"/>
        </w:rPr>
        <w:t>10.Numărul gospodăriilor conectate la sistemul public de canalizare  -  1400.</w:t>
      </w:r>
    </w:p>
    <w:p w:rsidR="00025C64" w:rsidRPr="00B63D43" w:rsidRDefault="00025C64" w:rsidP="00025C64">
      <w:pPr>
        <w:ind w:firstLine="709"/>
        <w:jc w:val="both"/>
        <w:rPr>
          <w:sz w:val="28"/>
          <w:szCs w:val="28"/>
          <w:lang w:val="ro-MD"/>
        </w:rPr>
      </w:pPr>
      <w:r w:rsidRPr="00B63D43">
        <w:rPr>
          <w:sz w:val="28"/>
          <w:szCs w:val="28"/>
          <w:lang w:val="ro-MD"/>
        </w:rPr>
        <w:t>11.Lungimea drumurilor asfaltate  --26,4 km.</w:t>
      </w:r>
    </w:p>
    <w:p w:rsidR="00025C64" w:rsidRPr="00B63D43" w:rsidRDefault="00025C64" w:rsidP="00025C64">
      <w:pPr>
        <w:ind w:firstLine="709"/>
        <w:jc w:val="both"/>
        <w:rPr>
          <w:sz w:val="28"/>
          <w:szCs w:val="28"/>
          <w:lang w:val="ro-MD"/>
        </w:rPr>
      </w:pPr>
      <w:r w:rsidRPr="00B63D43">
        <w:rPr>
          <w:sz w:val="28"/>
          <w:szCs w:val="28"/>
          <w:lang w:val="ro-MD"/>
        </w:rPr>
        <w:t>12.Lungimea drumurilor pietruite  -  3,7 km.</w:t>
      </w:r>
    </w:p>
    <w:p w:rsidR="00025C64" w:rsidRPr="00B63D43" w:rsidRDefault="00025C64" w:rsidP="00025C64">
      <w:pPr>
        <w:ind w:firstLine="709"/>
        <w:jc w:val="both"/>
        <w:rPr>
          <w:sz w:val="28"/>
          <w:szCs w:val="28"/>
          <w:lang w:val="ro-MD"/>
        </w:rPr>
      </w:pPr>
      <w:r w:rsidRPr="00B63D43">
        <w:rPr>
          <w:sz w:val="28"/>
          <w:szCs w:val="28"/>
          <w:lang w:val="ro-MD"/>
        </w:rPr>
        <w:t>13.Lungimea rețelei de iluminat stradal  -  30 km.</w:t>
      </w:r>
    </w:p>
    <w:p w:rsidR="00025C64" w:rsidRPr="00B63D43" w:rsidRDefault="00025C64" w:rsidP="00025C64">
      <w:pPr>
        <w:ind w:firstLine="709"/>
        <w:jc w:val="both"/>
        <w:rPr>
          <w:sz w:val="28"/>
          <w:szCs w:val="28"/>
          <w:lang w:val="ro-MD"/>
        </w:rPr>
      </w:pPr>
      <w:r w:rsidRPr="00B63D43">
        <w:rPr>
          <w:sz w:val="28"/>
          <w:szCs w:val="28"/>
          <w:lang w:val="ro-MD"/>
        </w:rPr>
        <w:t>14.Numărul copiilor încadrați la grădiniță  -  172.</w:t>
      </w:r>
    </w:p>
    <w:p w:rsidR="00025C64" w:rsidRPr="00B63D43" w:rsidRDefault="00025C64" w:rsidP="00025C64">
      <w:pPr>
        <w:ind w:firstLine="709"/>
        <w:jc w:val="both"/>
        <w:rPr>
          <w:sz w:val="28"/>
          <w:szCs w:val="28"/>
          <w:lang w:val="ro-MD"/>
        </w:rPr>
      </w:pPr>
      <w:r w:rsidRPr="00B63D43">
        <w:rPr>
          <w:sz w:val="28"/>
          <w:szCs w:val="28"/>
          <w:lang w:val="ro-MD"/>
        </w:rPr>
        <w:t>15.Numărul gospodăriilor conectate la serviciul de colectare a deșeurilor</w:t>
      </w:r>
    </w:p>
    <w:p w:rsidR="00025C64" w:rsidRPr="00B63D43" w:rsidRDefault="00025C64" w:rsidP="00025C64">
      <w:pPr>
        <w:ind w:firstLine="709"/>
        <w:jc w:val="both"/>
        <w:rPr>
          <w:sz w:val="28"/>
          <w:szCs w:val="28"/>
          <w:lang w:val="ro-MD"/>
        </w:rPr>
      </w:pPr>
      <w:r w:rsidRPr="00B63D43">
        <w:rPr>
          <w:sz w:val="28"/>
          <w:szCs w:val="28"/>
          <w:lang w:val="ro-MD"/>
        </w:rPr>
        <w:t xml:space="preserve">     solide -  1121.   </w:t>
      </w:r>
    </w:p>
    <w:p w:rsidR="00025C64" w:rsidRPr="00B63D43" w:rsidRDefault="00025C64" w:rsidP="00025C64">
      <w:pPr>
        <w:ind w:firstLine="709"/>
        <w:jc w:val="both"/>
        <w:rPr>
          <w:sz w:val="28"/>
          <w:szCs w:val="28"/>
          <w:lang w:val="ro-MD"/>
        </w:rPr>
      </w:pPr>
      <w:r w:rsidRPr="00B63D43">
        <w:rPr>
          <w:sz w:val="28"/>
          <w:szCs w:val="28"/>
          <w:lang w:val="ro-MD"/>
        </w:rPr>
        <w:t>16.Bugetul anual  -  19 667,8 mii lei.</w:t>
      </w:r>
    </w:p>
    <w:p w:rsidR="00025C64" w:rsidRPr="00B63D43" w:rsidRDefault="00025C64" w:rsidP="00025C64">
      <w:pPr>
        <w:ind w:firstLine="709"/>
        <w:jc w:val="both"/>
        <w:rPr>
          <w:sz w:val="28"/>
          <w:szCs w:val="28"/>
          <w:lang w:val="ro-MD"/>
        </w:rPr>
      </w:pPr>
      <w:r w:rsidRPr="00B63D43">
        <w:rPr>
          <w:sz w:val="28"/>
          <w:szCs w:val="28"/>
          <w:lang w:val="ro-MD"/>
        </w:rPr>
        <w:t>17.Procentul din buget alocat în prezent pentru investiții  -  21,2%.</w:t>
      </w:r>
    </w:p>
    <w:p w:rsidR="00025C64" w:rsidRPr="00B63D43" w:rsidRDefault="00025C64" w:rsidP="00025C64">
      <w:pPr>
        <w:ind w:firstLine="709"/>
        <w:jc w:val="both"/>
        <w:rPr>
          <w:sz w:val="28"/>
          <w:szCs w:val="28"/>
          <w:lang w:val="ro-MD"/>
        </w:rPr>
      </w:pPr>
      <w:r w:rsidRPr="00B63D43">
        <w:rPr>
          <w:sz w:val="28"/>
          <w:szCs w:val="28"/>
          <w:lang w:val="ro-MD"/>
        </w:rPr>
        <w:t xml:space="preserve">18.Fonduri externe accesate nu sunt.        </w:t>
      </w:r>
    </w:p>
    <w:p w:rsidR="00025C64" w:rsidRPr="00B63D43" w:rsidRDefault="00025C64" w:rsidP="00025C64">
      <w:pPr>
        <w:jc w:val="both"/>
        <w:rPr>
          <w:b/>
          <w:bCs/>
          <w:iCs/>
          <w:color w:val="000000"/>
          <w:sz w:val="28"/>
          <w:szCs w:val="28"/>
        </w:rPr>
      </w:pPr>
      <w:r>
        <w:rPr>
          <w:bCs/>
          <w:iCs/>
          <w:color w:val="000000"/>
          <w:sz w:val="28"/>
          <w:szCs w:val="28"/>
        </w:rPr>
        <w:t>Distanța de la comuna Tohatin până la orașul Stăuceni este de 7,2 km pe drumul existent, șoseaua M5. UAT propuse spre amalgamare au un hotar comun și o amplasare geografică care permite unirea acestor două localități și gestionarea eficientă a teritoriului unic</w:t>
      </w:r>
      <w:r>
        <w:rPr>
          <w:b/>
          <w:bCs/>
          <w:iCs/>
          <w:color w:val="000000"/>
          <w:sz w:val="28"/>
          <w:szCs w:val="28"/>
        </w:rPr>
        <w:t>.</w:t>
      </w:r>
    </w:p>
    <w:p w:rsidR="00025C64" w:rsidRDefault="00025C64" w:rsidP="00025C64">
      <w:pPr>
        <w:jc w:val="both"/>
        <w:rPr>
          <w:sz w:val="28"/>
          <w:szCs w:val="28"/>
          <w:lang w:eastAsia="zh-CN"/>
        </w:rPr>
      </w:pPr>
      <w:r>
        <w:rPr>
          <w:sz w:val="28"/>
          <w:szCs w:val="28"/>
          <w:lang w:eastAsia="zh-CN"/>
        </w:rPr>
        <w:t>Analiza situației existente relevă faptul că între comuna Tohatin  și orașul Stăuceni există relații funcționale consolidate, în special în domeniul accesului la servicii publice, mobilității populației și interacțiunilor economice și administrative, ceea ce reflectă existența unui areal teritorial integrat în mod natural.</w:t>
      </w:r>
    </w:p>
    <w:p w:rsidR="00025C64" w:rsidRDefault="00025C64" w:rsidP="00025C64">
      <w:pPr>
        <w:jc w:val="both"/>
        <w:rPr>
          <w:sz w:val="28"/>
          <w:szCs w:val="28"/>
          <w:lang w:eastAsia="zh-CN"/>
        </w:rPr>
      </w:pPr>
      <w:r>
        <w:rPr>
          <w:sz w:val="28"/>
          <w:szCs w:val="28"/>
          <w:lang w:eastAsia="zh-CN"/>
        </w:rPr>
        <w:t xml:space="preserve">Populația acestor localități utilizează în mod constant infrastructura și serviciile oferite de orașul Chișinău, inclusiv serviciile educaționale, medicale și administrative, ceea ce indică formarea unui sistem funcțional comun, care poate fi </w:t>
      </w:r>
      <w:r>
        <w:rPr>
          <w:sz w:val="28"/>
          <w:szCs w:val="28"/>
          <w:lang w:eastAsia="zh-CN"/>
        </w:rPr>
        <w:lastRenderedPageBreak/>
        <w:t xml:space="preserve">consolidat printr-o abordare administrativă integrată și coerentă, mai facilă și accesibilă locuitorilor. </w:t>
      </w:r>
    </w:p>
    <w:p w:rsidR="00025C64" w:rsidRDefault="00025C64" w:rsidP="00025C64">
      <w:pPr>
        <w:ind w:firstLine="567"/>
        <w:jc w:val="both"/>
        <w:rPr>
          <w:b/>
          <w:i/>
          <w:iCs/>
          <w:color w:val="333333"/>
          <w:sz w:val="28"/>
          <w:szCs w:val="28"/>
        </w:rPr>
      </w:pPr>
      <w:r>
        <w:rPr>
          <w:sz w:val="28"/>
          <w:szCs w:val="28"/>
        </w:rPr>
        <w:t xml:space="preserve">Conform cadrului normativ, unitățile administrativ-teritoriale care decid să inițieze sau să participe la procese de amalgamare voluntară beneficiază de suportul Guvernului. O serie de importanți parteneri de dezvoltare (donatori, proiecte active în domeniul APL) de asemenea susțin aceste eforturi şi inițiative. În afară de asistența tehnică de care vom beneficia în procesul de amalgamare voluntară, dacă această propunere va fi acceptată, în cazul realizării cu succes al acestui proces de comasare benevolă, după amalgamare vom beneficia de resurse financiare importante pentru investiții capitale şi pentru susținerea bugetului local. În plus, fiind printre pionierii acestui proces, aşa cum o arată şi experiența altor țări care au trecut prin reforme similare, avem şansa să beneficiem şi de o poziție mai avantajoasă în atragerea fondurilor pentru realizarea unor proiecte din fonduri naționale şi externe. </w:t>
      </w:r>
    </w:p>
    <w:p w:rsidR="00025C64" w:rsidRDefault="00025C64" w:rsidP="00025C64">
      <w:pPr>
        <w:pStyle w:val="paragraph"/>
        <w:spacing w:before="0" w:beforeAutospacing="0" w:after="0" w:afterAutospacing="0"/>
        <w:ind w:firstLine="567"/>
        <w:jc w:val="both"/>
        <w:textAlignment w:val="baseline"/>
        <w:rPr>
          <w:sz w:val="28"/>
          <w:szCs w:val="28"/>
          <w:lang w:val="ro-RO"/>
        </w:rPr>
      </w:pPr>
      <w:r>
        <w:rPr>
          <w:sz w:val="28"/>
          <w:szCs w:val="28"/>
          <w:lang w:val="ro-RO"/>
        </w:rPr>
        <w:t>Este important de menționat că decizia de inițiere a procesului de amalgamare voluntară constituie doar un prim pas care marchează începutul unui proces de discuții, analiză şi pregătire a procesului de amalgamare voluntară. De asemenea, după adoptarea deciziei de inițiere a amalgamării voluntare, cu susținerea Cancelariei de Stat şi a partenerilor de dezvoltare, în unitățile administrative teritoriale participante este implementat un amplu proces de consultare a comunităților cu privire la această inițiativă. Măsurile de consultare organizate au drept scop informarea locuitorilor cu privire la inițiativa de comasare a localităților, aflarea opiniei şi identificarea principalelor temeri ale acestora privind amalgamarea voluntară. În fine, consultarea urmăreşte să identifice cele mai importante probleme legate de infrastructură şi/sau serviciile publice pentru a căror soluționare ar putea să fie utilizate stimulentele financiare alocate de Guvern.</w:t>
      </w:r>
    </w:p>
    <w:p w:rsidR="00025C64" w:rsidRDefault="00025C64" w:rsidP="00025C64">
      <w:pPr>
        <w:pStyle w:val="paragraph"/>
        <w:spacing w:before="0" w:beforeAutospacing="0" w:after="0" w:afterAutospacing="0"/>
        <w:ind w:firstLine="567"/>
        <w:jc w:val="both"/>
        <w:textAlignment w:val="baseline"/>
        <w:rPr>
          <w:sz w:val="28"/>
          <w:szCs w:val="28"/>
          <w:lang w:val="ro-RO"/>
        </w:rPr>
      </w:pPr>
      <w:r>
        <w:rPr>
          <w:sz w:val="28"/>
          <w:szCs w:val="28"/>
          <w:lang w:val="ro-RO"/>
        </w:rPr>
        <w:t xml:space="preserve">În contextul celor menționate mai sus, reiterez faptul că această decizie inițială nu reprezintă o decizie finală cu privire la amalgamarea (unirea) propriu-zisă a localităților. Decizia de amalgamare voluntară va fi pusă în discuție şi propusă spre aprobare consiliilor locale vizate la o etapă ulterioară (aproximativ la un interval de 4-7 luni de la prima decizie de inițiere), după ce vor fi realizate toate procesele sus menționate de analiză, pregătire şi de consultare a locuitorilor. </w:t>
      </w:r>
    </w:p>
    <w:p w:rsidR="00025C64" w:rsidRDefault="00025C64" w:rsidP="00025C64">
      <w:pPr>
        <w:pStyle w:val="paragraph"/>
        <w:spacing w:before="0" w:beforeAutospacing="0" w:after="0" w:afterAutospacing="0"/>
        <w:ind w:left="705"/>
        <w:jc w:val="center"/>
        <w:textAlignment w:val="baseline"/>
        <w:rPr>
          <w:sz w:val="28"/>
          <w:szCs w:val="28"/>
          <w:lang w:val="ro-RO"/>
        </w:rPr>
      </w:pPr>
      <w:r>
        <w:rPr>
          <w:rStyle w:val="eop"/>
          <w:rFonts w:eastAsiaTheme="majorEastAsia"/>
          <w:sz w:val="28"/>
          <w:szCs w:val="28"/>
          <w:lang w:val="ro-RO"/>
        </w:rPr>
        <w:t> </w:t>
      </w:r>
    </w:p>
    <w:p w:rsidR="00025C64" w:rsidRDefault="00025C64" w:rsidP="00025C64">
      <w:pPr>
        <w:pStyle w:val="paragraph"/>
        <w:spacing w:before="0" w:beforeAutospacing="0" w:after="0" w:afterAutospacing="0"/>
        <w:ind w:left="705"/>
        <w:jc w:val="center"/>
        <w:textAlignment w:val="baseline"/>
        <w:rPr>
          <w:sz w:val="28"/>
          <w:szCs w:val="28"/>
          <w:lang w:val="ro-RO"/>
        </w:rPr>
      </w:pPr>
      <w:r>
        <w:rPr>
          <w:rStyle w:val="eop"/>
          <w:rFonts w:eastAsiaTheme="majorEastAsia"/>
          <w:sz w:val="28"/>
          <w:szCs w:val="28"/>
          <w:lang w:val="ro-RO"/>
        </w:rPr>
        <w:t> </w:t>
      </w:r>
    </w:p>
    <w:p w:rsidR="00025C64" w:rsidRDefault="00025C64" w:rsidP="00025C64">
      <w:pPr>
        <w:pStyle w:val="paragraph"/>
        <w:spacing w:before="0" w:beforeAutospacing="0" w:after="0" w:afterAutospacing="0"/>
        <w:jc w:val="both"/>
        <w:textAlignment w:val="baseline"/>
        <w:rPr>
          <w:rFonts w:eastAsia="Calibri"/>
        </w:rPr>
      </w:pPr>
      <w:r>
        <w:rPr>
          <w:rStyle w:val="eop"/>
          <w:rFonts w:eastAsiaTheme="majorEastAsia"/>
          <w:bCs/>
          <w:sz w:val="28"/>
          <w:szCs w:val="28"/>
          <w:lang w:val="ro-RO"/>
        </w:rPr>
        <w:t>Primarul comunei Tohatin                                                Sergiu Cebotaru</w:t>
      </w:r>
    </w:p>
    <w:p w:rsidR="00025C64" w:rsidRDefault="00025C64" w:rsidP="00025C64">
      <w:pPr>
        <w:jc w:val="center"/>
        <w:rPr>
          <w:b/>
          <w:bCs/>
          <w:color w:val="000000"/>
          <w:sz w:val="28"/>
          <w:szCs w:val="28"/>
          <w:lang w:eastAsia="ro-RO"/>
        </w:rPr>
      </w:pPr>
    </w:p>
    <w:p w:rsidR="00025C64" w:rsidRDefault="00025C64" w:rsidP="00025C64">
      <w:pPr>
        <w:jc w:val="center"/>
        <w:rPr>
          <w:b/>
          <w:bCs/>
          <w:color w:val="000000"/>
          <w:sz w:val="28"/>
          <w:szCs w:val="28"/>
          <w:lang w:eastAsia="ro-RO"/>
        </w:rPr>
      </w:pPr>
    </w:p>
    <w:p w:rsidR="00025C64" w:rsidRDefault="00025C64" w:rsidP="00025C64">
      <w:pPr>
        <w:jc w:val="center"/>
        <w:rPr>
          <w:b/>
          <w:bCs/>
          <w:color w:val="000000"/>
          <w:sz w:val="28"/>
          <w:szCs w:val="28"/>
          <w:lang w:eastAsia="ro-RO"/>
        </w:rPr>
      </w:pPr>
    </w:p>
    <w:p w:rsidR="00025C64" w:rsidRDefault="00025C64" w:rsidP="00025C64">
      <w:pPr>
        <w:jc w:val="center"/>
        <w:rPr>
          <w:b/>
          <w:bCs/>
          <w:color w:val="000000"/>
          <w:sz w:val="28"/>
          <w:szCs w:val="28"/>
          <w:lang w:eastAsia="ro-RO"/>
        </w:rPr>
      </w:pPr>
    </w:p>
    <w:p w:rsidR="00025C64" w:rsidRDefault="00025C64" w:rsidP="00025C64">
      <w:pPr>
        <w:jc w:val="center"/>
        <w:rPr>
          <w:b/>
          <w:bCs/>
          <w:color w:val="000000"/>
          <w:sz w:val="28"/>
          <w:szCs w:val="28"/>
          <w:lang w:eastAsia="ro-RO"/>
        </w:rPr>
      </w:pPr>
    </w:p>
    <w:p w:rsidR="00025C64" w:rsidRDefault="00025C64" w:rsidP="00025C64">
      <w:pPr>
        <w:jc w:val="center"/>
        <w:rPr>
          <w:b/>
          <w:bCs/>
          <w:color w:val="000000"/>
          <w:sz w:val="28"/>
          <w:szCs w:val="28"/>
          <w:lang w:eastAsia="ro-RO"/>
        </w:rPr>
      </w:pPr>
    </w:p>
    <w:p w:rsidR="00025C64" w:rsidRDefault="00025C64" w:rsidP="00025C64">
      <w:pPr>
        <w:jc w:val="center"/>
        <w:rPr>
          <w:b/>
          <w:bCs/>
          <w:color w:val="000000"/>
          <w:sz w:val="28"/>
          <w:szCs w:val="28"/>
          <w:lang w:eastAsia="ro-RO"/>
        </w:rPr>
      </w:pPr>
    </w:p>
    <w:p w:rsidR="00025C64" w:rsidRDefault="00025C64" w:rsidP="00025C64">
      <w:pPr>
        <w:jc w:val="center"/>
        <w:rPr>
          <w:b/>
          <w:bCs/>
          <w:color w:val="000000"/>
          <w:sz w:val="28"/>
          <w:szCs w:val="28"/>
          <w:lang w:eastAsia="ro-RO"/>
        </w:rPr>
      </w:pPr>
    </w:p>
    <w:p w:rsidR="00F12C76" w:rsidRDefault="00F12C76" w:rsidP="006C0B77">
      <w:pPr>
        <w:ind w:firstLine="709"/>
        <w:jc w:val="both"/>
      </w:pPr>
      <w:bookmarkStart w:id="0" w:name="_GoBack"/>
      <w:bookmarkEnd w:id="0"/>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7DE"/>
    <w:rsid w:val="00025C64"/>
    <w:rsid w:val="006C0B77"/>
    <w:rsid w:val="008242FF"/>
    <w:rsid w:val="00870751"/>
    <w:rsid w:val="00922C48"/>
    <w:rsid w:val="009837DE"/>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4859B-3FA0-46B7-9976-CAA4171D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C64"/>
    <w:pPr>
      <w:spacing w:after="0" w:line="240" w:lineRule="auto"/>
    </w:pPr>
    <w:rPr>
      <w:rFonts w:ascii="Times New Roman" w:eastAsia="Times New Roman"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uiPriority w:val="99"/>
    <w:qFormat/>
    <w:rsid w:val="00025C64"/>
    <w:pPr>
      <w:spacing w:before="100" w:beforeAutospacing="1" w:after="100" w:afterAutospacing="1"/>
    </w:pPr>
    <w:rPr>
      <w:sz w:val="24"/>
      <w:szCs w:val="24"/>
      <w:lang w:val="en-US" w:eastAsia="en-GB"/>
    </w:rPr>
  </w:style>
  <w:style w:type="character" w:customStyle="1" w:styleId="eop">
    <w:name w:val="eop"/>
    <w:basedOn w:val="a0"/>
    <w:rsid w:val="00025C64"/>
  </w:style>
  <w:style w:type="character" w:customStyle="1" w:styleId="normaltextrun">
    <w:name w:val="normaltextrun"/>
    <w:basedOn w:val="a0"/>
    <w:rsid w:val="00025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4533</Characters>
  <Application>Microsoft Office Word</Application>
  <DocSecurity>0</DocSecurity>
  <Lines>37</Lines>
  <Paragraphs>10</Paragraphs>
  <ScaleCrop>false</ScaleCrop>
  <Company/>
  <LinksUpToDate>false</LinksUpToDate>
  <CharactersWithSpaces>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2026-07-14T17:58:00Z</dcterms:created>
  <dcterms:modified xsi:type="dcterms:W3CDTF">2026-07-14T17:59:00Z</dcterms:modified>
</cp:coreProperties>
</file>